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rekrutacyji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12789884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0B524E">
        <w:rPr>
          <w:rFonts w:ascii="Times New Roman" w:eastAsia="Calibri" w:hAnsi="Times New Roman" w:cs="Times New Roman"/>
          <w:b/>
          <w:bCs/>
          <w:kern w:val="0"/>
        </w:rPr>
        <w:t>Specjalista</w:t>
      </w:r>
      <w:r w:rsidR="00056906">
        <w:rPr>
          <w:rFonts w:ascii="Times New Roman" w:eastAsia="Calibri" w:hAnsi="Times New Roman" w:cs="Times New Roman"/>
          <w:b/>
          <w:bCs/>
          <w:kern w:val="0"/>
        </w:rPr>
        <w:t>/Specjalistka</w:t>
      </w:r>
      <w:r w:rsidR="000B524E">
        <w:rPr>
          <w:rFonts w:ascii="Times New Roman" w:eastAsia="Calibri" w:hAnsi="Times New Roman" w:cs="Times New Roman"/>
          <w:b/>
          <w:bCs/>
          <w:kern w:val="0"/>
        </w:rPr>
        <w:t xml:space="preserve"> do spraw promocji i marketingu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56906"/>
    <w:rsid w:val="000B524E"/>
    <w:rsid w:val="000D69FD"/>
    <w:rsid w:val="000D6D38"/>
    <w:rsid w:val="001A041E"/>
    <w:rsid w:val="003E1593"/>
    <w:rsid w:val="00471807"/>
    <w:rsid w:val="004922FB"/>
    <w:rsid w:val="005136B2"/>
    <w:rsid w:val="0054260D"/>
    <w:rsid w:val="005E235F"/>
    <w:rsid w:val="00876134"/>
    <w:rsid w:val="00A725A2"/>
    <w:rsid w:val="00C82DC0"/>
    <w:rsid w:val="00CA0661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8</cp:revision>
  <dcterms:created xsi:type="dcterms:W3CDTF">2024-10-02T08:16:00Z</dcterms:created>
  <dcterms:modified xsi:type="dcterms:W3CDTF">2026-03-18T12:55:00Z</dcterms:modified>
</cp:coreProperties>
</file>